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A5FD" w14:textId="77777777" w:rsidR="009350EA" w:rsidRDefault="009350EA" w:rsidP="009350EA">
      <w:pPr>
        <w:pStyle w:val="Title"/>
        <w:spacing w:line="276" w:lineRule="auto"/>
        <w:jc w:val="left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Race and Education</w:t>
      </w:r>
    </w:p>
    <w:p w14:paraId="693EB7BE" w14:textId="77777777" w:rsidR="009350EA" w:rsidRPr="009350EA" w:rsidRDefault="009350EA" w:rsidP="009350EA">
      <w:pPr>
        <w:pStyle w:val="Title"/>
        <w:spacing w:line="276" w:lineRule="auto"/>
        <w:jc w:val="left"/>
        <w:rPr>
          <w:rFonts w:ascii="Garamond" w:hAnsi="Garamond" w:cstheme="minorHAnsi"/>
          <w:b w:val="0"/>
          <w:sz w:val="22"/>
          <w:szCs w:val="22"/>
        </w:rPr>
      </w:pPr>
      <w:r>
        <w:rPr>
          <w:rFonts w:ascii="Garamond" w:hAnsi="Garamond" w:cstheme="minorHAnsi"/>
          <w:b w:val="0"/>
          <w:sz w:val="22"/>
          <w:szCs w:val="22"/>
        </w:rPr>
        <w:t>Deep Springs College, Term 6 2015</w:t>
      </w:r>
    </w:p>
    <w:p w14:paraId="261BF640" w14:textId="13C73059" w:rsidR="009350EA" w:rsidRPr="009350EA" w:rsidRDefault="009350EA" w:rsidP="009350EA">
      <w:pPr>
        <w:spacing w:after="0"/>
        <w:rPr>
          <w:rFonts w:ascii="Garamond" w:hAnsi="Garamond" w:cstheme="minorHAnsi"/>
          <w:bCs/>
        </w:rPr>
      </w:pPr>
      <w:r w:rsidRPr="009350EA">
        <w:rPr>
          <w:rFonts w:ascii="Garamond" w:hAnsi="Garamond" w:cstheme="minorHAnsi"/>
          <w:bCs/>
        </w:rPr>
        <w:t xml:space="preserve">Time: </w:t>
      </w:r>
      <w:r w:rsidR="00BE7869">
        <w:rPr>
          <w:rFonts w:ascii="Garamond" w:hAnsi="Garamond" w:cstheme="minorHAnsi"/>
          <w:bCs/>
        </w:rPr>
        <w:t>T/F 11:00-12:30</w:t>
      </w:r>
    </w:p>
    <w:p w14:paraId="19C2C341" w14:textId="77777777" w:rsidR="009350EA" w:rsidRPr="009350EA" w:rsidRDefault="009350EA" w:rsidP="009350EA">
      <w:pPr>
        <w:spacing w:after="0"/>
        <w:rPr>
          <w:rFonts w:ascii="Garamond" w:hAnsi="Garamond" w:cstheme="minorHAnsi"/>
        </w:rPr>
      </w:pPr>
      <w:r w:rsidRPr="009350EA">
        <w:rPr>
          <w:rFonts w:ascii="Garamond" w:hAnsi="Garamond" w:cstheme="minorHAnsi"/>
        </w:rPr>
        <w:t>Instructor</w:t>
      </w:r>
      <w:r>
        <w:rPr>
          <w:rFonts w:ascii="Garamond" w:hAnsi="Garamond" w:cstheme="minorHAnsi"/>
        </w:rPr>
        <w:t>s</w:t>
      </w:r>
      <w:r w:rsidRPr="009350EA">
        <w:rPr>
          <w:rFonts w:ascii="Garamond" w:hAnsi="Garamond" w:cstheme="minorHAnsi"/>
        </w:rPr>
        <w:t>:  Michael Brownstein</w:t>
      </w:r>
      <w:r>
        <w:rPr>
          <w:rFonts w:ascii="Garamond" w:hAnsi="Garamond" w:cstheme="minorHAnsi"/>
        </w:rPr>
        <w:t xml:space="preserve"> (</w:t>
      </w:r>
      <w:hyperlink r:id="rId7" w:history="1">
        <w:r w:rsidRPr="008E6780">
          <w:rPr>
            <w:rStyle w:val="Hyperlink"/>
            <w:rFonts w:ascii="Garamond" w:hAnsi="Garamond" w:cstheme="minorHAnsi"/>
          </w:rPr>
          <w:t>msbrownstein@gmail.com</w:t>
        </w:r>
      </w:hyperlink>
      <w:r>
        <w:rPr>
          <w:rFonts w:ascii="Garamond" w:hAnsi="Garamond" w:cstheme="minorHAnsi"/>
        </w:rPr>
        <w:t>) and Bryden Sweeney-Taylor (</w:t>
      </w:r>
      <w:hyperlink r:id="rId8" w:history="1">
        <w:r w:rsidRPr="008E6780">
          <w:rPr>
            <w:rStyle w:val="Hyperlink"/>
            <w:rFonts w:ascii="Garamond" w:hAnsi="Garamond" w:cstheme="minorHAnsi"/>
          </w:rPr>
          <w:t>bryden@post.harvard.edu</w:t>
        </w:r>
      </w:hyperlink>
      <w:r>
        <w:rPr>
          <w:rFonts w:ascii="Garamond" w:hAnsi="Garamond" w:cstheme="minorHAnsi"/>
        </w:rPr>
        <w:t>)</w:t>
      </w:r>
    </w:p>
    <w:p w14:paraId="5FC94B76" w14:textId="77777777" w:rsidR="009350EA" w:rsidRPr="009350EA" w:rsidRDefault="009350EA" w:rsidP="009350EA">
      <w:pPr>
        <w:spacing w:after="0"/>
        <w:ind w:left="1440" w:hanging="1440"/>
        <w:rPr>
          <w:rFonts w:ascii="Garamond" w:hAnsi="Garamond" w:cstheme="minorHAnsi"/>
        </w:rPr>
      </w:pPr>
    </w:p>
    <w:p w14:paraId="4860C635" w14:textId="77777777" w:rsidR="009350EA" w:rsidRPr="009350EA" w:rsidRDefault="009350EA" w:rsidP="009350EA">
      <w:pPr>
        <w:spacing w:after="0"/>
        <w:ind w:left="1440" w:hanging="1440"/>
        <w:rPr>
          <w:rFonts w:ascii="Garamond" w:hAnsi="Garamond" w:cstheme="minorHAnsi"/>
        </w:rPr>
      </w:pPr>
      <w:r w:rsidRPr="009350EA">
        <w:rPr>
          <w:rFonts w:ascii="Garamond" w:hAnsi="Garamond" w:cstheme="minorHAnsi"/>
          <w:b/>
        </w:rPr>
        <w:t>Course Description</w:t>
      </w:r>
    </w:p>
    <w:p w14:paraId="43A0BF03" w14:textId="77777777" w:rsidR="009350EA" w:rsidRPr="009350EA" w:rsidRDefault="009350EA" w:rsidP="009350EA">
      <w:pPr>
        <w:pStyle w:val="Title"/>
        <w:spacing w:line="276" w:lineRule="auto"/>
        <w:jc w:val="left"/>
        <w:rPr>
          <w:rFonts w:ascii="Garamond" w:eastAsia="Garamond" w:hAnsi="Garamond" w:cs="Garamond"/>
          <w:b w:val="0"/>
          <w:sz w:val="22"/>
          <w:szCs w:val="22"/>
        </w:rPr>
      </w:pPr>
      <w:r>
        <w:rPr>
          <w:rFonts w:ascii="Garamond" w:eastAsia="Garamond" w:hAnsi="Garamond" w:cs="Garamond"/>
          <w:b w:val="0"/>
          <w:sz w:val="22"/>
          <w:szCs w:val="22"/>
        </w:rPr>
        <w:t xml:space="preserve">This course </w:t>
      </w:r>
      <w:r w:rsidRPr="009350EA">
        <w:rPr>
          <w:rFonts w:ascii="Garamond" w:eastAsia="Garamond" w:hAnsi="Garamond" w:cs="Garamond"/>
          <w:b w:val="0"/>
          <w:sz w:val="22"/>
          <w:szCs w:val="22"/>
        </w:rPr>
        <w:t>focus</w:t>
      </w:r>
      <w:r>
        <w:rPr>
          <w:rFonts w:ascii="Garamond" w:eastAsia="Garamond" w:hAnsi="Garamond" w:cs="Garamond"/>
          <w:b w:val="0"/>
          <w:sz w:val="22"/>
          <w:szCs w:val="22"/>
        </w:rPr>
        <w:t>es</w:t>
      </w:r>
      <w:r w:rsidRPr="009350EA">
        <w:rPr>
          <w:rFonts w:ascii="Garamond" w:eastAsia="Garamond" w:hAnsi="Garamond" w:cs="Garamond"/>
          <w:b w:val="0"/>
          <w:sz w:val="22"/>
          <w:szCs w:val="22"/>
        </w:rPr>
        <w:t xml:space="preserve"> on the role of stereotypes, prejudice, and social group membership in student experiences and outcomes from primary school through college</w:t>
      </w:r>
      <w:r>
        <w:rPr>
          <w:rFonts w:ascii="Garamond" w:eastAsia="Garamond" w:hAnsi="Garamond" w:cs="Garamond"/>
          <w:b w:val="0"/>
          <w:sz w:val="22"/>
          <w:szCs w:val="22"/>
        </w:rPr>
        <w:t xml:space="preserve"> in the United States.  Readings are drawn from philosophical and psychological literature, as well as popular narratives.  The aim of the course is to</w:t>
      </w:r>
      <w:r w:rsidRPr="009350EA">
        <w:rPr>
          <w:rFonts w:ascii="Garamond" w:eastAsia="Garamond" w:hAnsi="Garamond" w:cs="Garamond"/>
          <w:b w:val="0"/>
          <w:sz w:val="22"/>
          <w:szCs w:val="22"/>
        </w:rPr>
        <w:t xml:space="preserve"> address the </w:t>
      </w:r>
      <w:r>
        <w:rPr>
          <w:rFonts w:ascii="Garamond" w:eastAsia="Garamond" w:hAnsi="Garamond" w:cs="Garamond"/>
          <w:b w:val="0"/>
          <w:sz w:val="22"/>
          <w:szCs w:val="22"/>
        </w:rPr>
        <w:t>intersection of race and education from both</w:t>
      </w:r>
      <w:r w:rsidRPr="009350EA">
        <w:rPr>
          <w:rFonts w:ascii="Garamond" w:eastAsia="Garamond" w:hAnsi="Garamond" w:cs="Garamond"/>
          <w:b w:val="0"/>
          <w:sz w:val="22"/>
          <w:szCs w:val="22"/>
        </w:rPr>
        <w:t xml:space="preserve"> theoretical and </w:t>
      </w:r>
      <w:r>
        <w:rPr>
          <w:rFonts w:ascii="Garamond" w:eastAsia="Garamond" w:hAnsi="Garamond" w:cs="Garamond"/>
          <w:b w:val="0"/>
          <w:sz w:val="22"/>
          <w:szCs w:val="22"/>
        </w:rPr>
        <w:t>practical perspectives.  What are the best ways to understand the relevant social and individual challenges?  And how can these challenges be overcome?</w:t>
      </w:r>
      <w:r w:rsidRPr="009350EA">
        <w:rPr>
          <w:rFonts w:ascii="Garamond" w:eastAsia="Garamond" w:hAnsi="Garamond" w:cs="Garamond"/>
          <w:b w:val="0"/>
          <w:sz w:val="22"/>
          <w:szCs w:val="22"/>
        </w:rPr>
        <w:t xml:space="preserve"> </w:t>
      </w:r>
    </w:p>
    <w:p w14:paraId="08CCB52D" w14:textId="77777777" w:rsidR="009350EA" w:rsidRPr="009350EA" w:rsidRDefault="009350EA" w:rsidP="009350EA">
      <w:pPr>
        <w:pStyle w:val="Title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14:paraId="304F4615" w14:textId="77777777" w:rsidR="009350EA" w:rsidRPr="009350EA" w:rsidRDefault="009350EA" w:rsidP="009350EA">
      <w:pPr>
        <w:pStyle w:val="Title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  <w:r w:rsidRPr="009350EA">
        <w:rPr>
          <w:rFonts w:ascii="Garamond" w:hAnsi="Garamond" w:cstheme="minorHAnsi"/>
          <w:sz w:val="22"/>
          <w:szCs w:val="22"/>
        </w:rPr>
        <w:t>Required Texts</w:t>
      </w:r>
    </w:p>
    <w:p w14:paraId="0489C688" w14:textId="77777777" w:rsidR="002C1A97" w:rsidRDefault="002C1A97" w:rsidP="009350EA">
      <w:pPr>
        <w:spacing w:after="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Kozol, </w:t>
      </w:r>
      <w:r>
        <w:rPr>
          <w:rFonts w:ascii="Garamond" w:hAnsi="Garamond"/>
          <w:i/>
        </w:rPr>
        <w:t>Savage Inequalities</w:t>
      </w:r>
    </w:p>
    <w:p w14:paraId="28EDFAAC" w14:textId="285D3256" w:rsidR="002C1A97" w:rsidRDefault="002C1A97" w:rsidP="009350EA">
      <w:pPr>
        <w:spacing w:after="0"/>
        <w:ind w:left="720" w:hanging="720"/>
        <w:rPr>
          <w:rFonts w:ascii="Garamond" w:hAnsi="Garamond"/>
          <w:i/>
        </w:rPr>
      </w:pPr>
      <w:proofErr w:type="spellStart"/>
      <w:r>
        <w:rPr>
          <w:rFonts w:ascii="Garamond" w:hAnsi="Garamond"/>
        </w:rPr>
        <w:t>Kirp</w:t>
      </w:r>
      <w:proofErr w:type="spellEnd"/>
      <w:r>
        <w:rPr>
          <w:rFonts w:ascii="Garamond" w:hAnsi="Garamond"/>
        </w:rPr>
        <w:t xml:space="preserve">, </w:t>
      </w:r>
      <w:r w:rsidR="00831BEA">
        <w:rPr>
          <w:rFonts w:ascii="Garamond" w:hAnsi="Garamond"/>
          <w:i/>
        </w:rPr>
        <w:t>Improbable</w:t>
      </w:r>
      <w:r>
        <w:rPr>
          <w:rFonts w:ascii="Garamond" w:hAnsi="Garamond"/>
          <w:i/>
        </w:rPr>
        <w:t xml:space="preserve"> Scholars</w:t>
      </w:r>
    </w:p>
    <w:p w14:paraId="71FD9BC7" w14:textId="77777777" w:rsidR="002C1A97" w:rsidRDefault="002C1A97" w:rsidP="009350EA">
      <w:pPr>
        <w:spacing w:after="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Hobbs, </w:t>
      </w:r>
      <w:r>
        <w:rPr>
          <w:rFonts w:ascii="Garamond" w:hAnsi="Garamond"/>
          <w:i/>
        </w:rPr>
        <w:t>The Short and Tragic Life of Robert Peace</w:t>
      </w:r>
    </w:p>
    <w:p w14:paraId="1F6AEF48" w14:textId="77777777" w:rsidR="002C1A97" w:rsidRDefault="002C1A97" w:rsidP="009350EA">
      <w:pPr>
        <w:spacing w:after="0"/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Tough, </w:t>
      </w:r>
      <w:r>
        <w:rPr>
          <w:rFonts w:ascii="Garamond" w:hAnsi="Garamond"/>
          <w:i/>
        </w:rPr>
        <w:t>How Children Succeed</w:t>
      </w:r>
    </w:p>
    <w:p w14:paraId="621C350D" w14:textId="77777777" w:rsidR="002C1A97" w:rsidRDefault="002C1A97" w:rsidP="009350EA">
      <w:pPr>
        <w:spacing w:after="0"/>
        <w:ind w:left="720" w:hanging="720"/>
        <w:rPr>
          <w:rFonts w:ascii="Garamond" w:hAnsi="Garamond"/>
          <w:i/>
        </w:rPr>
      </w:pPr>
    </w:p>
    <w:p w14:paraId="4D2D60D8" w14:textId="646A6E74" w:rsidR="009350EA" w:rsidRPr="009350EA" w:rsidRDefault="009350EA" w:rsidP="009350EA">
      <w:pPr>
        <w:spacing w:after="0"/>
        <w:ind w:left="720" w:hanging="720"/>
        <w:rPr>
          <w:rFonts w:ascii="Garamond" w:hAnsi="Garamond"/>
        </w:rPr>
      </w:pPr>
      <w:r w:rsidRPr="009350EA">
        <w:rPr>
          <w:rFonts w:ascii="Garamond" w:hAnsi="Garamond"/>
        </w:rPr>
        <w:t xml:space="preserve">All other readings will be </w:t>
      </w:r>
      <w:r>
        <w:rPr>
          <w:rFonts w:ascii="Garamond" w:hAnsi="Garamond"/>
        </w:rPr>
        <w:t>distributed electronically.</w:t>
      </w:r>
    </w:p>
    <w:p w14:paraId="60E90DE4" w14:textId="77777777" w:rsidR="009350EA" w:rsidRPr="009350EA" w:rsidRDefault="009350EA" w:rsidP="009350EA">
      <w:pPr>
        <w:spacing w:after="0"/>
        <w:rPr>
          <w:rFonts w:ascii="Garamond" w:hAnsi="Garamond" w:cstheme="minorHAnsi"/>
          <w:b/>
          <w:bCs/>
        </w:rPr>
      </w:pPr>
    </w:p>
    <w:p w14:paraId="67C6D258" w14:textId="77777777" w:rsidR="009350EA" w:rsidRPr="009350EA" w:rsidRDefault="009350EA" w:rsidP="009350EA">
      <w:pPr>
        <w:spacing w:after="0"/>
        <w:rPr>
          <w:rFonts w:ascii="Garamond" w:hAnsi="Garamond" w:cstheme="minorHAnsi"/>
          <w:b/>
          <w:bCs/>
        </w:rPr>
      </w:pPr>
      <w:r w:rsidRPr="009350EA">
        <w:rPr>
          <w:rFonts w:ascii="Garamond" w:hAnsi="Garamond" w:cstheme="minorHAnsi"/>
          <w:b/>
          <w:bCs/>
        </w:rPr>
        <w:t>Requirements</w:t>
      </w:r>
    </w:p>
    <w:p w14:paraId="51807719" w14:textId="77777777" w:rsidR="00042C1F" w:rsidRDefault="00042C1F" w:rsidP="009350E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Students are expected to attend all class meetings ready to discuss the assigned reading.  In addition, each student will be responsible for presenting two “Daily Class </w:t>
      </w:r>
      <w:proofErr w:type="spellStart"/>
      <w:r>
        <w:rPr>
          <w:rFonts w:ascii="Garamond" w:hAnsi="Garamond"/>
          <w:i/>
        </w:rPr>
        <w:t>Protokolen</w:t>
      </w:r>
      <w:proofErr w:type="spellEnd"/>
      <w:r>
        <w:rPr>
          <w:rFonts w:ascii="Garamond" w:hAnsi="Garamond"/>
        </w:rPr>
        <w:t xml:space="preserve">.”  A </w:t>
      </w:r>
      <w:proofErr w:type="spellStart"/>
      <w:r>
        <w:rPr>
          <w:rFonts w:ascii="Garamond" w:hAnsi="Garamond"/>
          <w:i/>
        </w:rPr>
        <w:t>Protokol</w:t>
      </w:r>
      <w:proofErr w:type="spellEnd"/>
      <w:r>
        <w:rPr>
          <w:rFonts w:ascii="Garamond" w:hAnsi="Garamond"/>
        </w:rPr>
        <w:t xml:space="preserve"> is an opinionated summary (approximately 1 page, single-spaced) of the discussion from the previous class meeting.  We will begin each class with a reading of the </w:t>
      </w:r>
      <w:proofErr w:type="spellStart"/>
      <w:r>
        <w:rPr>
          <w:rFonts w:ascii="Garamond" w:hAnsi="Garamond"/>
          <w:i/>
        </w:rPr>
        <w:t>Protokol</w:t>
      </w:r>
      <w:proofErr w:type="spellEnd"/>
      <w:r>
        <w:rPr>
          <w:rFonts w:ascii="Garamond" w:hAnsi="Garamond"/>
        </w:rPr>
        <w:t xml:space="preserve">.  A sign-up sheet will be distributed at the beginning of the term.  </w:t>
      </w:r>
    </w:p>
    <w:p w14:paraId="4865E0F5" w14:textId="77777777" w:rsidR="00322E29" w:rsidRDefault="00322E29" w:rsidP="009350EA">
      <w:pPr>
        <w:spacing w:after="0"/>
        <w:rPr>
          <w:rFonts w:ascii="Garamond" w:hAnsi="Garamond"/>
        </w:rPr>
      </w:pPr>
    </w:p>
    <w:p w14:paraId="0773FFE8" w14:textId="77777777" w:rsidR="00322E29" w:rsidRDefault="00322E29" w:rsidP="009350EA">
      <w:pPr>
        <w:spacing w:after="0"/>
        <w:rPr>
          <w:rFonts w:ascii="Garamond" w:hAnsi="Garamond"/>
        </w:rPr>
      </w:pPr>
      <w:r>
        <w:rPr>
          <w:rFonts w:ascii="Garamond" w:hAnsi="Garamond"/>
        </w:rPr>
        <w:t>This class will be run seminar-style.  Each student will be expected to lead two class discussions.  The seminar-leader for the day should come prepared to frame the reading (5-10 minutes) and present critical reading questions for discussion.  More detail will be given in class.</w:t>
      </w:r>
    </w:p>
    <w:p w14:paraId="082D2626" w14:textId="77777777" w:rsidR="00042C1F" w:rsidRDefault="00042C1F" w:rsidP="009350EA">
      <w:pPr>
        <w:spacing w:after="0"/>
        <w:rPr>
          <w:rFonts w:ascii="Garamond" w:hAnsi="Garamond"/>
        </w:rPr>
      </w:pPr>
    </w:p>
    <w:p w14:paraId="471D427E" w14:textId="77777777" w:rsidR="00042C1F" w:rsidRDefault="00042C1F" w:rsidP="009350EA">
      <w:pPr>
        <w:spacing w:after="0"/>
        <w:rPr>
          <w:rFonts w:ascii="Garamond" w:hAnsi="Garamond"/>
        </w:rPr>
      </w:pPr>
      <w:r>
        <w:rPr>
          <w:rFonts w:ascii="Garamond" w:hAnsi="Garamond"/>
        </w:rPr>
        <w:t>In addition, students will have the option of completing one of the following assessments:</w:t>
      </w:r>
    </w:p>
    <w:p w14:paraId="488CA893" w14:textId="77777777" w:rsidR="00042C1F" w:rsidRDefault="00042C1F" w:rsidP="009350EA">
      <w:pPr>
        <w:spacing w:after="0"/>
        <w:rPr>
          <w:rFonts w:ascii="Garamond" w:hAnsi="Garamond"/>
        </w:rPr>
      </w:pPr>
    </w:p>
    <w:p w14:paraId="572BF035" w14:textId="77777777" w:rsidR="00042C1F" w:rsidRDefault="00042C1F" w:rsidP="004423AB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(A) Three short critical papers in response to assigned readings, each approximately </w:t>
      </w:r>
      <w:r w:rsidR="009711D4">
        <w:rPr>
          <w:rFonts w:ascii="Garamond" w:hAnsi="Garamond"/>
        </w:rPr>
        <w:t>1500</w:t>
      </w:r>
      <w:r w:rsidR="00322E29">
        <w:rPr>
          <w:rFonts w:ascii="Garamond" w:hAnsi="Garamond"/>
        </w:rPr>
        <w:t xml:space="preserve"> words</w:t>
      </w:r>
      <w:r>
        <w:rPr>
          <w:rFonts w:ascii="Garamond" w:hAnsi="Garamond"/>
        </w:rPr>
        <w:t>.  Students are free to write on any topic of their choice.</w:t>
      </w:r>
    </w:p>
    <w:p w14:paraId="4BAB152B" w14:textId="77777777" w:rsidR="00042C1F" w:rsidRDefault="00042C1F" w:rsidP="004423AB">
      <w:pPr>
        <w:spacing w:after="0"/>
        <w:ind w:left="720"/>
        <w:rPr>
          <w:rFonts w:ascii="Garamond" w:hAnsi="Garamond"/>
        </w:rPr>
      </w:pPr>
    </w:p>
    <w:p w14:paraId="7D57EC62" w14:textId="0F3B0896" w:rsidR="00042C1F" w:rsidRDefault="00042C1F" w:rsidP="004423AB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(B) One substantive seminar paper</w:t>
      </w:r>
      <w:r w:rsidR="00831BEA">
        <w:rPr>
          <w:rFonts w:ascii="Garamond" w:hAnsi="Garamond"/>
        </w:rPr>
        <w:t>, due at the end of the term</w:t>
      </w:r>
      <w:r>
        <w:rPr>
          <w:rFonts w:ascii="Garamond" w:hAnsi="Garamond"/>
        </w:rPr>
        <w:t xml:space="preserve">, approximately </w:t>
      </w:r>
      <w:r w:rsidR="00322E29">
        <w:rPr>
          <w:rFonts w:ascii="Garamond" w:hAnsi="Garamond"/>
        </w:rPr>
        <w:t xml:space="preserve">3000-5000 words.  Students who choose this option will be expected to submit drafts of the seminar paper by pre-arranged deadlines.  The expectation is that the final seminar paper will be high-quality, akin to a professional conference paper. </w:t>
      </w:r>
    </w:p>
    <w:p w14:paraId="31145CAB" w14:textId="77777777" w:rsidR="00322E29" w:rsidRDefault="00322E29" w:rsidP="004423AB">
      <w:pPr>
        <w:spacing w:after="0"/>
        <w:ind w:left="720"/>
        <w:rPr>
          <w:rFonts w:ascii="Garamond" w:hAnsi="Garamond"/>
        </w:rPr>
      </w:pPr>
    </w:p>
    <w:p w14:paraId="7533E9B4" w14:textId="77777777" w:rsidR="00322E29" w:rsidRDefault="00322E29" w:rsidP="004423AB">
      <w:pPr>
        <w:spacing w:after="0"/>
        <w:ind w:left="720"/>
        <w:rPr>
          <w:rFonts w:ascii="Garamond" w:hAnsi="Garamond"/>
        </w:rPr>
      </w:pPr>
      <w:r>
        <w:rPr>
          <w:rFonts w:ascii="Garamond" w:hAnsi="Garamond"/>
        </w:rPr>
        <w:t>(C) An engaged project focusing on developing strategies for improving some aspect of the course content.  One option may be to develop a Deep Springs chapter for Matriculate, the peer-to-peer mentorship program for high-school students founded by Bryden.</w:t>
      </w:r>
    </w:p>
    <w:p w14:paraId="63999992" w14:textId="77777777" w:rsidR="00322E29" w:rsidRDefault="00322E29" w:rsidP="009350EA">
      <w:pPr>
        <w:spacing w:after="0"/>
        <w:rPr>
          <w:rFonts w:ascii="Garamond" w:hAnsi="Garamond"/>
        </w:rPr>
      </w:pPr>
    </w:p>
    <w:p w14:paraId="16A5678F" w14:textId="77777777" w:rsidR="004423AB" w:rsidRDefault="00322E29" w:rsidP="004C66D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Final grades will be calculated based on daily class participation (20%), two </w:t>
      </w:r>
      <w:proofErr w:type="spellStart"/>
      <w:r>
        <w:rPr>
          <w:rFonts w:ascii="Garamond" w:hAnsi="Garamond"/>
          <w:i/>
        </w:rPr>
        <w:t>Protokolen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</w:t>
      </w:r>
      <w:r w:rsidR="004423AB">
        <w:rPr>
          <w:rFonts w:ascii="Garamond" w:hAnsi="Garamond"/>
        </w:rPr>
        <w:t>10</w:t>
      </w:r>
      <w:r>
        <w:rPr>
          <w:rFonts w:ascii="Garamond" w:hAnsi="Garamond"/>
        </w:rPr>
        <w:t>%), seminar leadership (</w:t>
      </w:r>
      <w:r w:rsidR="004423AB">
        <w:rPr>
          <w:rFonts w:ascii="Garamond" w:hAnsi="Garamond"/>
        </w:rPr>
        <w:t xml:space="preserve">20%), </w:t>
      </w:r>
      <w:r>
        <w:rPr>
          <w:rFonts w:ascii="Garamond" w:hAnsi="Garamond"/>
        </w:rPr>
        <w:t>and papers/project (</w:t>
      </w:r>
      <w:r w:rsidR="004423AB">
        <w:rPr>
          <w:rFonts w:ascii="Garamond" w:hAnsi="Garamond"/>
        </w:rPr>
        <w:t>5</w:t>
      </w:r>
      <w:r>
        <w:rPr>
          <w:rFonts w:ascii="Garamond" w:hAnsi="Garamond"/>
        </w:rPr>
        <w:t>0%).</w:t>
      </w:r>
    </w:p>
    <w:p w14:paraId="6282938B" w14:textId="77777777" w:rsidR="00D95058" w:rsidRDefault="00D95058" w:rsidP="00AD6A6C">
      <w:pPr>
        <w:spacing w:after="0"/>
        <w:rPr>
          <w:rFonts w:ascii="Garamond" w:hAnsi="Garamond"/>
          <w:b/>
        </w:rPr>
      </w:pPr>
    </w:p>
    <w:p w14:paraId="466316FC" w14:textId="77777777" w:rsidR="00AD6A6C" w:rsidRPr="009350EA" w:rsidRDefault="00AD6A6C" w:rsidP="00AD6A6C">
      <w:pPr>
        <w:spacing w:after="0"/>
        <w:rPr>
          <w:rFonts w:ascii="Garamond" w:hAnsi="Garamond"/>
        </w:rPr>
      </w:pPr>
      <w:r w:rsidRPr="009350EA">
        <w:rPr>
          <w:rFonts w:ascii="Garamond" w:hAnsi="Garamond"/>
          <w:b/>
        </w:rPr>
        <w:t>Schedule</w:t>
      </w:r>
    </w:p>
    <w:p w14:paraId="62759311" w14:textId="77777777" w:rsidR="00AD6A6C" w:rsidRDefault="0051220D" w:rsidP="00AD6A6C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>Week 1: Race, Education, and I</w:t>
      </w:r>
      <w:r w:rsidR="00AD6A6C">
        <w:rPr>
          <w:rFonts w:ascii="Garamond" w:hAnsi="Garamond"/>
          <w:i/>
        </w:rPr>
        <w:t>nequality</w:t>
      </w:r>
    </w:p>
    <w:p w14:paraId="3CA1FB3B" w14:textId="77777777" w:rsidR="00260C2E" w:rsidRDefault="00260C2E" w:rsidP="00AD6A6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1</w:t>
      </w:r>
    </w:p>
    <w:p w14:paraId="5397E4FE" w14:textId="63ECE501" w:rsidR="00AD6A6C" w:rsidRPr="00786D97" w:rsidRDefault="00A27B6F" w:rsidP="00260C2E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Du Bois,</w:t>
      </w:r>
      <w:r w:rsidR="009E3A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W.E.B. </w:t>
      </w:r>
      <w:r w:rsidR="0091156F">
        <w:rPr>
          <w:rFonts w:ascii="Garamond" w:hAnsi="Garamond"/>
        </w:rPr>
        <w:t xml:space="preserve">1903. </w:t>
      </w:r>
      <w:r w:rsidR="00AD6A6C" w:rsidRPr="009350EA">
        <w:rPr>
          <w:rFonts w:ascii="Garamond" w:hAnsi="Garamond"/>
          <w:i/>
        </w:rPr>
        <w:t>The Souls of Black Folk</w:t>
      </w:r>
      <w:r w:rsidR="00AD6A6C">
        <w:rPr>
          <w:rFonts w:ascii="Garamond" w:hAnsi="Garamond"/>
        </w:rPr>
        <w:t>, “Of the Training of Black Men”</w:t>
      </w:r>
    </w:p>
    <w:p w14:paraId="1ED5E4F6" w14:textId="77777777" w:rsidR="00260C2E" w:rsidRDefault="00260C2E" w:rsidP="00AD6A6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2</w:t>
      </w:r>
    </w:p>
    <w:p w14:paraId="0538BABF" w14:textId="47119871" w:rsidR="00AD6A6C" w:rsidRPr="009350EA" w:rsidRDefault="00A27B6F" w:rsidP="00260C2E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Kozol</w:t>
      </w:r>
      <w:proofErr w:type="spellEnd"/>
      <w:r>
        <w:rPr>
          <w:rFonts w:ascii="Garamond" w:hAnsi="Garamond"/>
        </w:rPr>
        <w:t xml:space="preserve">, J. </w:t>
      </w:r>
      <w:r w:rsidR="0091156F">
        <w:rPr>
          <w:rFonts w:ascii="Garamond" w:hAnsi="Garamond"/>
        </w:rPr>
        <w:t xml:space="preserve">1991. </w:t>
      </w:r>
      <w:r w:rsidR="00AD6A6C" w:rsidRPr="009350EA">
        <w:rPr>
          <w:rFonts w:ascii="Garamond" w:hAnsi="Garamond"/>
          <w:i/>
        </w:rPr>
        <w:t>Savage Inequalities</w:t>
      </w:r>
      <w:r w:rsidR="00BE7869">
        <w:rPr>
          <w:rFonts w:ascii="Garamond" w:hAnsi="Garamond"/>
        </w:rPr>
        <w:t>, (pg. 1-100, 211-282</w:t>
      </w:r>
      <w:r w:rsidR="00E3148D">
        <w:rPr>
          <w:rFonts w:ascii="Garamond" w:hAnsi="Garamond"/>
        </w:rPr>
        <w:t>)</w:t>
      </w:r>
    </w:p>
    <w:p w14:paraId="6C60D606" w14:textId="77777777" w:rsidR="00AD6A6C" w:rsidRDefault="00AD6A6C" w:rsidP="004C66D9">
      <w:pPr>
        <w:spacing w:after="0"/>
        <w:rPr>
          <w:rFonts w:ascii="Garamond" w:hAnsi="Garamond"/>
        </w:rPr>
      </w:pPr>
    </w:p>
    <w:p w14:paraId="59FF9D90" w14:textId="77777777" w:rsidR="00AD6A6C" w:rsidRDefault="0051220D" w:rsidP="00AD6A6C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>Week 2&amp;3: Intergroup A</w:t>
      </w:r>
      <w:r w:rsidR="00AD6A6C">
        <w:rPr>
          <w:rFonts w:ascii="Garamond" w:hAnsi="Garamond"/>
          <w:i/>
        </w:rPr>
        <w:t xml:space="preserve">ttitudes, </w:t>
      </w:r>
      <w:r>
        <w:rPr>
          <w:rFonts w:ascii="Garamond" w:hAnsi="Garamond"/>
          <w:i/>
        </w:rPr>
        <w:t>Implicit B</w:t>
      </w:r>
      <w:r w:rsidR="00AD6A6C">
        <w:rPr>
          <w:rFonts w:ascii="Garamond" w:hAnsi="Garamond"/>
          <w:i/>
        </w:rPr>
        <w:t>ias</w:t>
      </w:r>
      <w:r>
        <w:rPr>
          <w:rFonts w:ascii="Garamond" w:hAnsi="Garamond"/>
          <w:i/>
        </w:rPr>
        <w:t>, and Stereotype T</w:t>
      </w:r>
      <w:r w:rsidR="00AD6A6C">
        <w:rPr>
          <w:rFonts w:ascii="Garamond" w:hAnsi="Garamond"/>
          <w:i/>
        </w:rPr>
        <w:t>hreat</w:t>
      </w:r>
    </w:p>
    <w:p w14:paraId="68950902" w14:textId="77777777" w:rsidR="00260C2E" w:rsidRDefault="00260C2E" w:rsidP="00AD6A6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1</w:t>
      </w:r>
    </w:p>
    <w:p w14:paraId="3E4C810B" w14:textId="38877814" w:rsidR="00AD6A6C" w:rsidRPr="009350EA" w:rsidRDefault="0091156F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Machery</w:t>
      </w:r>
      <w:proofErr w:type="spellEnd"/>
      <w:r>
        <w:rPr>
          <w:rFonts w:ascii="Garamond" w:hAnsi="Garamond"/>
        </w:rPr>
        <w:t xml:space="preserve">, E., &amp; </w:t>
      </w:r>
      <w:proofErr w:type="spellStart"/>
      <w:r>
        <w:rPr>
          <w:rFonts w:ascii="Garamond" w:hAnsi="Garamond"/>
        </w:rPr>
        <w:t>Faucher</w:t>
      </w:r>
      <w:proofErr w:type="spellEnd"/>
      <w:r>
        <w:rPr>
          <w:rFonts w:ascii="Garamond" w:hAnsi="Garamond"/>
        </w:rPr>
        <w:t>, L. 2005. Why do we Think Racially?</w:t>
      </w:r>
    </w:p>
    <w:p w14:paraId="401675C0" w14:textId="77777777" w:rsidR="00260C2E" w:rsidRDefault="00260C2E" w:rsidP="00AD6A6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2</w:t>
      </w:r>
    </w:p>
    <w:p w14:paraId="30835972" w14:textId="77777777" w:rsidR="00260C2E" w:rsidRPr="00260C2E" w:rsidRDefault="00260C2E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Brownstein, M. 2015. Implicit Bias. </w:t>
      </w:r>
      <w:r>
        <w:rPr>
          <w:rFonts w:ascii="Garamond" w:hAnsi="Garamond"/>
          <w:i/>
        </w:rPr>
        <w:t>The Stanford Encyclopedia of Philosophy</w:t>
      </w:r>
    </w:p>
    <w:p w14:paraId="393D7F10" w14:textId="77777777" w:rsidR="0091156F" w:rsidRDefault="0091156F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Jost</w:t>
      </w:r>
      <w:proofErr w:type="spellEnd"/>
      <w:r>
        <w:rPr>
          <w:rFonts w:ascii="Garamond" w:hAnsi="Garamond"/>
        </w:rPr>
        <w:t>, J. et al. 2009. The existence of implicit bias is beyond reasonable doubt: A refutation of ideological and methodological objections and executive summary of ten studies that no manager should ignore.</w:t>
      </w:r>
    </w:p>
    <w:p w14:paraId="10F59BD4" w14:textId="77777777" w:rsidR="00260C2E" w:rsidRDefault="00260C2E" w:rsidP="00AD6A6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3</w:t>
      </w:r>
    </w:p>
    <w:p w14:paraId="04ECD7C9" w14:textId="3967DA26" w:rsidR="00260C2E" w:rsidRDefault="00260C2E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Van den Berg et al. 2010. The implicit prejudiced attitudes of teachers: relations to teacher expectations and the ethnic achievement gap. </w:t>
      </w:r>
    </w:p>
    <w:p w14:paraId="5F02B63C" w14:textId="77777777" w:rsidR="00260C2E" w:rsidRPr="009350EA" w:rsidRDefault="00260C2E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Milkman et al. 2010. Temporal distance and discrimination: an audit study in academia</w:t>
      </w:r>
    </w:p>
    <w:p w14:paraId="6028BE3E" w14:textId="77777777" w:rsidR="00260C2E" w:rsidRDefault="00260C2E" w:rsidP="00260C2E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4</w:t>
      </w:r>
    </w:p>
    <w:p w14:paraId="0615F2CB" w14:textId="16173395" w:rsidR="00260C2E" w:rsidRDefault="00260C2E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Steele, C. &amp; Aronson, J. 1995. Stereotype threat and the intellectual test performance of African-Americans.</w:t>
      </w:r>
    </w:p>
    <w:p w14:paraId="131004CE" w14:textId="77777777" w:rsidR="00260C2E" w:rsidRPr="00AD6A6C" w:rsidRDefault="00260C2E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Mallon, R. Forthcoming. Stereotype threat and persons.</w:t>
      </w:r>
    </w:p>
    <w:p w14:paraId="1D51A9D0" w14:textId="60EC5066" w:rsidR="00260C2E" w:rsidRDefault="00260C2E" w:rsidP="00AD6A6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Optional</w:t>
      </w:r>
    </w:p>
    <w:p w14:paraId="0C82B0C0" w14:textId="77777777" w:rsidR="00260C2E" w:rsidRDefault="00260C2E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Dunham, Y., Chen, E. &amp; </w:t>
      </w:r>
      <w:proofErr w:type="spellStart"/>
      <w:r>
        <w:rPr>
          <w:rFonts w:ascii="Garamond" w:hAnsi="Garamond"/>
        </w:rPr>
        <w:t>Banaji</w:t>
      </w:r>
      <w:proofErr w:type="spellEnd"/>
      <w:r>
        <w:rPr>
          <w:rFonts w:ascii="Garamond" w:hAnsi="Garamond"/>
        </w:rPr>
        <w:t xml:space="preserve">, M. 2013. Two signatures of implicit intergroup attitudes: Developmental invariance and early enculturation </w:t>
      </w:r>
    </w:p>
    <w:p w14:paraId="7C601140" w14:textId="3D7BAB2A" w:rsidR="00260C2E" w:rsidRPr="00260C2E" w:rsidRDefault="00260C2E" w:rsidP="00260C2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Leslie, S.J. Forthcoming. The original sin of cognition: fear, prejudice, and generalization</w:t>
      </w:r>
    </w:p>
    <w:p w14:paraId="56201944" w14:textId="77777777" w:rsidR="00AD6A6C" w:rsidRDefault="00AD6A6C" w:rsidP="004C66D9">
      <w:pPr>
        <w:spacing w:after="0"/>
        <w:rPr>
          <w:rFonts w:ascii="Garamond" w:hAnsi="Garamond"/>
        </w:rPr>
      </w:pPr>
    </w:p>
    <w:p w14:paraId="2876197A" w14:textId="77777777" w:rsidR="00AD6A6C" w:rsidRDefault="00AD6A6C" w:rsidP="004C66D9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>Weeks 4&amp;5: Structural Inequality</w:t>
      </w:r>
    </w:p>
    <w:p w14:paraId="5CB0CA02" w14:textId="77777777" w:rsidR="00260C2E" w:rsidRDefault="00260C2E" w:rsidP="00AD6A6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1</w:t>
      </w:r>
    </w:p>
    <w:p w14:paraId="55BC13A4" w14:textId="650E64E7" w:rsidR="00AD6A6C" w:rsidRDefault="00AF191F" w:rsidP="00260C2E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Anderson, E. 2010. </w:t>
      </w:r>
      <w:r>
        <w:rPr>
          <w:rFonts w:ascii="Garamond" w:hAnsi="Garamond"/>
          <w:i/>
        </w:rPr>
        <w:t>The Imperative of Integration</w:t>
      </w:r>
      <w:r w:rsidR="008D5C9B">
        <w:rPr>
          <w:rFonts w:ascii="Garamond" w:hAnsi="Garamond"/>
        </w:rPr>
        <w:t>, Chapters 1-3 (pg</w:t>
      </w:r>
      <w:r>
        <w:rPr>
          <w:rFonts w:ascii="Garamond" w:hAnsi="Garamond"/>
        </w:rPr>
        <w:t>. 1-66).</w:t>
      </w:r>
    </w:p>
    <w:p w14:paraId="2F49027E" w14:textId="1EF16DAC" w:rsidR="005765AE" w:rsidRPr="009350EA" w:rsidRDefault="005765AE" w:rsidP="00260C2E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First Short paper due (June 2)</w:t>
      </w:r>
    </w:p>
    <w:p w14:paraId="67CB0E53" w14:textId="77777777" w:rsidR="00260C2E" w:rsidRDefault="00260C2E" w:rsidP="00AD6A6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2</w:t>
      </w:r>
    </w:p>
    <w:p w14:paraId="2B4A6EDE" w14:textId="73F16F93" w:rsidR="00AD6A6C" w:rsidRPr="009350EA" w:rsidRDefault="00AF191F" w:rsidP="00260C2E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Noguera</w:t>
      </w:r>
      <w:proofErr w:type="spellEnd"/>
      <w:r>
        <w:rPr>
          <w:rFonts w:ascii="Garamond" w:hAnsi="Garamond"/>
        </w:rPr>
        <w:t xml:space="preserve">, P. 2008. </w:t>
      </w:r>
      <w:r w:rsidR="00AD6A6C" w:rsidRPr="009350EA">
        <w:rPr>
          <w:rFonts w:ascii="Garamond" w:hAnsi="Garamond"/>
          <w:i/>
        </w:rPr>
        <w:t>The Trouble with Black Boys</w:t>
      </w:r>
      <w:r>
        <w:rPr>
          <w:rFonts w:ascii="Garamond" w:hAnsi="Garamond"/>
          <w:i/>
        </w:rPr>
        <w:t xml:space="preserve"> and other reflections on race, equity, and the future of American education,</w:t>
      </w:r>
      <w:r w:rsidR="00AD6A6C">
        <w:rPr>
          <w:rFonts w:ascii="Garamond" w:hAnsi="Garamond"/>
        </w:rPr>
        <w:t xml:space="preserve"> Parts I &amp; II (pg. 1-158)</w:t>
      </w:r>
    </w:p>
    <w:p w14:paraId="3FEF7AB6" w14:textId="77777777" w:rsidR="00260C2E" w:rsidRDefault="00260C2E" w:rsidP="00AD6A6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3</w:t>
      </w:r>
    </w:p>
    <w:p w14:paraId="0090B4AD" w14:textId="77777777" w:rsidR="00260C2E" w:rsidRDefault="00260C2E" w:rsidP="00260C2E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Hobbs, J. 2015. </w:t>
      </w:r>
      <w:r w:rsidRPr="009350EA">
        <w:rPr>
          <w:rFonts w:ascii="Garamond" w:hAnsi="Garamond"/>
          <w:i/>
        </w:rPr>
        <w:t>The Short and Tragic Life of Robert Peace</w:t>
      </w:r>
      <w:r>
        <w:rPr>
          <w:rFonts w:ascii="Garamond" w:hAnsi="Garamond"/>
        </w:rPr>
        <w:t xml:space="preserve"> (pg. 1-194)</w:t>
      </w:r>
    </w:p>
    <w:p w14:paraId="69B51085" w14:textId="6247AEDB" w:rsidR="005765AE" w:rsidRPr="009350EA" w:rsidRDefault="005765AE" w:rsidP="00260C2E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Long-paper proposals due (June 9)</w:t>
      </w:r>
    </w:p>
    <w:p w14:paraId="73FEAF98" w14:textId="717796EA" w:rsidR="00260C2E" w:rsidRDefault="00260C2E" w:rsidP="00AD6A6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Day 4</w:t>
      </w:r>
    </w:p>
    <w:p w14:paraId="39573D32" w14:textId="77777777" w:rsidR="007B0316" w:rsidRDefault="007B0316" w:rsidP="007B0316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Espenshade</w:t>
      </w:r>
      <w:proofErr w:type="spellEnd"/>
      <w:r>
        <w:rPr>
          <w:rFonts w:ascii="Garamond" w:hAnsi="Garamond"/>
        </w:rPr>
        <w:t xml:space="preserve">, T. and Radford, A. 2009. </w:t>
      </w:r>
      <w:r w:rsidRPr="009350EA">
        <w:rPr>
          <w:rFonts w:ascii="Garamond" w:hAnsi="Garamond"/>
          <w:i/>
        </w:rPr>
        <w:t>No Longer Separate, Not Yet Equal</w:t>
      </w:r>
      <w:r>
        <w:rPr>
          <w:rFonts w:ascii="Garamond" w:hAnsi="Garamond"/>
        </w:rPr>
        <w:t>, Chapter 5 (176-225)</w:t>
      </w:r>
    </w:p>
    <w:p w14:paraId="5570D74A" w14:textId="62D36E6B" w:rsidR="00AD6A6C" w:rsidRPr="007B0316" w:rsidRDefault="007B0316" w:rsidP="007B0316">
      <w:pPr>
        <w:pStyle w:val="ListParagraph"/>
        <w:numPr>
          <w:ilvl w:val="1"/>
          <w:numId w:val="11"/>
        </w:numPr>
        <w:spacing w:after="0" w:line="240" w:lineRule="auto"/>
        <w:rPr>
          <w:rFonts w:ascii="Garamond" w:hAnsi="Garamond"/>
        </w:rPr>
      </w:pPr>
      <w:r w:rsidRPr="007B0316">
        <w:rPr>
          <w:rFonts w:ascii="Garamond" w:hAnsi="Garamond"/>
        </w:rPr>
        <w:t>Leslie, S.J. et al. 2015. Expectations of brilliance underlie gender distributions across academic disciplines.</w:t>
      </w:r>
    </w:p>
    <w:p w14:paraId="0C42F58B" w14:textId="77777777" w:rsidR="007B0316" w:rsidRDefault="007B0316" w:rsidP="007B0316">
      <w:pPr>
        <w:spacing w:after="0"/>
        <w:rPr>
          <w:rFonts w:ascii="Garamond" w:hAnsi="Garamond"/>
          <w:i/>
        </w:rPr>
      </w:pPr>
    </w:p>
    <w:p w14:paraId="283E25A6" w14:textId="61EFA4A6" w:rsidR="007B0316" w:rsidRPr="007B0316" w:rsidRDefault="00AD6A6C" w:rsidP="007B0316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>Week 6</w:t>
      </w:r>
      <w:r w:rsidR="00AF191F">
        <w:rPr>
          <w:rFonts w:ascii="Garamond" w:hAnsi="Garamond"/>
          <w:i/>
        </w:rPr>
        <w:t>: The University</w:t>
      </w:r>
    </w:p>
    <w:p w14:paraId="733714AA" w14:textId="40B64B0A" w:rsidR="007B0316" w:rsidRPr="007B0316" w:rsidRDefault="007B0316" w:rsidP="007B031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7B0316">
        <w:rPr>
          <w:rFonts w:ascii="Garamond" w:hAnsi="Garamond"/>
        </w:rPr>
        <w:t>Day 1</w:t>
      </w:r>
    </w:p>
    <w:p w14:paraId="146EF404" w14:textId="54E98D8E" w:rsidR="007B0316" w:rsidRDefault="007B0316" w:rsidP="007B0316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proofErr w:type="spellStart"/>
      <w:r w:rsidRPr="0005499F">
        <w:rPr>
          <w:rFonts w:ascii="Garamond" w:hAnsi="Garamond"/>
        </w:rPr>
        <w:lastRenderedPageBreak/>
        <w:t>Noguera</w:t>
      </w:r>
      <w:proofErr w:type="spellEnd"/>
      <w:r w:rsidRPr="0005499F">
        <w:rPr>
          <w:rFonts w:ascii="Garamond" w:hAnsi="Garamond"/>
        </w:rPr>
        <w:t xml:space="preserve">, P. 2008. </w:t>
      </w:r>
      <w:r w:rsidRPr="0005499F">
        <w:rPr>
          <w:rFonts w:ascii="Garamond" w:hAnsi="Garamond"/>
          <w:i/>
        </w:rPr>
        <w:t>The Trouble with Black Boys and other reflections on race, equity, and the future of American education,</w:t>
      </w:r>
      <w:r w:rsidRPr="0005499F">
        <w:rPr>
          <w:rFonts w:ascii="Garamond" w:hAnsi="Garamond"/>
        </w:rPr>
        <w:t xml:space="preserve"> </w:t>
      </w:r>
      <w:r>
        <w:rPr>
          <w:rFonts w:ascii="Garamond" w:hAnsi="Garamond"/>
        </w:rPr>
        <w:t>Chapter 12 (217-250)</w:t>
      </w:r>
    </w:p>
    <w:p w14:paraId="4504CCE9" w14:textId="1367D242" w:rsidR="007B0316" w:rsidRPr="007B0316" w:rsidRDefault="007B0316" w:rsidP="007B0316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2</w:t>
      </w:r>
      <w:r w:rsidRPr="005765AE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short paper due or 1</w:t>
      </w:r>
      <w:r w:rsidRPr="005765AE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draft of long paper due (June 16)</w:t>
      </w:r>
    </w:p>
    <w:p w14:paraId="3616A6E0" w14:textId="42D33FE9" w:rsidR="007B0316" w:rsidRPr="007B0316" w:rsidRDefault="007B0316" w:rsidP="007B031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7B0316">
        <w:rPr>
          <w:rFonts w:ascii="Garamond" w:hAnsi="Garamond"/>
        </w:rPr>
        <w:t>Day 2</w:t>
      </w:r>
    </w:p>
    <w:p w14:paraId="1E0CBE3D" w14:textId="77777777" w:rsidR="007B0316" w:rsidRPr="0051220D" w:rsidRDefault="007B0316" w:rsidP="007B0316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Espenshade</w:t>
      </w:r>
      <w:proofErr w:type="spellEnd"/>
      <w:r>
        <w:rPr>
          <w:rFonts w:ascii="Garamond" w:hAnsi="Garamond"/>
        </w:rPr>
        <w:t xml:space="preserve">, T. and Radford, A. 2009. </w:t>
      </w:r>
      <w:r w:rsidRPr="009350EA">
        <w:rPr>
          <w:rFonts w:ascii="Garamond" w:hAnsi="Garamond"/>
          <w:i/>
        </w:rPr>
        <w:t>No Longer Separate, Not Yet Equal</w:t>
      </w:r>
      <w:r>
        <w:rPr>
          <w:rFonts w:ascii="Garamond" w:hAnsi="Garamond"/>
        </w:rPr>
        <w:t>, Chapter 10 (378-409)</w:t>
      </w:r>
    </w:p>
    <w:p w14:paraId="69EADBFC" w14:textId="77777777" w:rsidR="007B0316" w:rsidRPr="00D24D43" w:rsidRDefault="007B0316" w:rsidP="007B0316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Madva</w:t>
      </w:r>
      <w:proofErr w:type="spellEnd"/>
      <w:r>
        <w:rPr>
          <w:rFonts w:ascii="Garamond" w:hAnsi="Garamond"/>
        </w:rPr>
        <w:t xml:space="preserve">, A. </w:t>
      </w:r>
      <w:proofErr w:type="spellStart"/>
      <w:r>
        <w:rPr>
          <w:rFonts w:ascii="Garamond" w:hAnsi="Garamond"/>
        </w:rPr>
        <w:t>ms</w:t>
      </w:r>
      <w:proofErr w:type="gramStart"/>
      <w:r>
        <w:rPr>
          <w:rFonts w:ascii="Garamond" w:hAnsi="Garamond"/>
        </w:rPr>
        <w:t>.</w:t>
      </w:r>
      <w:proofErr w:type="spellEnd"/>
      <w:r>
        <w:rPr>
          <w:rFonts w:ascii="Garamond" w:hAnsi="Garamond"/>
        </w:rPr>
        <w:t xml:space="preserve">  Biased</w:t>
      </w:r>
      <w:proofErr w:type="gramEnd"/>
      <w:r>
        <w:rPr>
          <w:rFonts w:ascii="Garamond" w:hAnsi="Garamond"/>
        </w:rPr>
        <w:t xml:space="preserve"> against </w:t>
      </w:r>
      <w:proofErr w:type="spellStart"/>
      <w:r>
        <w:rPr>
          <w:rFonts w:ascii="Garamond" w:hAnsi="Garamond"/>
        </w:rPr>
        <w:t>debiasing</w:t>
      </w:r>
      <w:proofErr w:type="spellEnd"/>
      <w:r>
        <w:rPr>
          <w:rFonts w:ascii="Garamond" w:hAnsi="Garamond"/>
        </w:rPr>
        <w:t>: on the role of (institutionally sponsored) self-transformation in the struggle against prejudice</w:t>
      </w:r>
    </w:p>
    <w:p w14:paraId="21E02D38" w14:textId="77777777" w:rsidR="00AD6A6C" w:rsidRPr="00AD6A6C" w:rsidRDefault="00AD6A6C" w:rsidP="004C66D9">
      <w:pPr>
        <w:spacing w:after="0"/>
        <w:rPr>
          <w:rFonts w:ascii="Garamond" w:hAnsi="Garamond"/>
          <w:i/>
        </w:rPr>
      </w:pPr>
    </w:p>
    <w:p w14:paraId="3033910A" w14:textId="77777777" w:rsidR="00AD6A6C" w:rsidRPr="004423AB" w:rsidRDefault="00AD6A6C" w:rsidP="00AD6A6C">
      <w:pPr>
        <w:spacing w:after="0"/>
        <w:rPr>
          <w:rFonts w:ascii="Garamond" w:eastAsia="Garamond" w:hAnsi="Garamond" w:cs="Garamond"/>
          <w:b/>
          <w:i/>
        </w:rPr>
      </w:pPr>
      <w:r>
        <w:rPr>
          <w:rFonts w:ascii="Garamond" w:hAnsi="Garamond"/>
          <w:i/>
        </w:rPr>
        <w:t>Week 7: M</w:t>
      </w:r>
      <w:r w:rsidR="0051220D">
        <w:rPr>
          <w:rFonts w:ascii="Garamond" w:hAnsi="Garamond"/>
          <w:i/>
        </w:rPr>
        <w:t>aking C</w:t>
      </w:r>
      <w:r>
        <w:rPr>
          <w:rFonts w:ascii="Garamond" w:hAnsi="Garamond"/>
          <w:i/>
        </w:rPr>
        <w:t>hange</w:t>
      </w:r>
    </w:p>
    <w:p w14:paraId="63831412" w14:textId="4FE9776B" w:rsidR="007B0316" w:rsidRPr="007B0316" w:rsidRDefault="007B0316" w:rsidP="007B031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7B0316">
        <w:rPr>
          <w:rFonts w:ascii="Garamond" w:hAnsi="Garamond"/>
        </w:rPr>
        <w:t>Day 1</w:t>
      </w:r>
    </w:p>
    <w:p w14:paraId="36A5DFF7" w14:textId="77777777" w:rsidR="007B0316" w:rsidRDefault="007B0316" w:rsidP="007B0316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Tough, P. 2013. </w:t>
      </w:r>
      <w:r w:rsidRPr="009350EA">
        <w:rPr>
          <w:rFonts w:ascii="Garamond" w:hAnsi="Garamond"/>
          <w:i/>
        </w:rPr>
        <w:t>How Children Succeed</w:t>
      </w:r>
      <w:r>
        <w:rPr>
          <w:rFonts w:ascii="Garamond" w:hAnsi="Garamond"/>
          <w:i/>
        </w:rPr>
        <w:t>: grit, curiosity, and the hidden power of character</w:t>
      </w:r>
      <w:r>
        <w:rPr>
          <w:rFonts w:ascii="Garamond" w:hAnsi="Garamond"/>
        </w:rPr>
        <w:t>, Chapters 1-2 (1-104)</w:t>
      </w:r>
    </w:p>
    <w:p w14:paraId="3C857AC4" w14:textId="77777777" w:rsidR="007B0316" w:rsidRPr="0051220D" w:rsidRDefault="007B0316" w:rsidP="007B0316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Final short paper due or final draft of long paper due (June 23)</w:t>
      </w:r>
    </w:p>
    <w:p w14:paraId="5D846E39" w14:textId="77777777" w:rsidR="007B0316" w:rsidRPr="007B0316" w:rsidRDefault="007B0316" w:rsidP="007B0316">
      <w:pPr>
        <w:spacing w:after="0" w:line="240" w:lineRule="auto"/>
        <w:rPr>
          <w:rFonts w:ascii="Garamond" w:hAnsi="Garamond"/>
        </w:rPr>
      </w:pPr>
    </w:p>
    <w:p w14:paraId="148DD003" w14:textId="255B1E43" w:rsidR="007B0316" w:rsidRPr="007B0316" w:rsidRDefault="007B0316" w:rsidP="007B031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 w:rsidRPr="007B0316">
        <w:rPr>
          <w:rFonts w:ascii="Garamond" w:hAnsi="Garamond"/>
        </w:rPr>
        <w:t>Day 2</w:t>
      </w:r>
    </w:p>
    <w:p w14:paraId="6C2A3FAB" w14:textId="7CF78538" w:rsidR="007B0316" w:rsidRPr="007B0316" w:rsidRDefault="007B0316" w:rsidP="007B0316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Kirp</w:t>
      </w:r>
      <w:proofErr w:type="spellEnd"/>
      <w:r>
        <w:rPr>
          <w:rFonts w:ascii="Garamond" w:hAnsi="Garamond"/>
        </w:rPr>
        <w:t xml:space="preserve">, D. 2013. </w:t>
      </w:r>
      <w:r w:rsidRPr="009350EA">
        <w:rPr>
          <w:rFonts w:ascii="Garamond" w:hAnsi="Garamond"/>
          <w:i/>
        </w:rPr>
        <w:t>Improbable Scholars</w:t>
      </w:r>
      <w:r>
        <w:rPr>
          <w:rFonts w:ascii="Garamond" w:hAnsi="Garamond"/>
          <w:i/>
        </w:rPr>
        <w:t>: The rebirth of a great American school system and a strategy for American schools</w:t>
      </w:r>
      <w:r>
        <w:rPr>
          <w:rFonts w:ascii="Garamond" w:hAnsi="Garamond"/>
        </w:rPr>
        <w:t>, Introduction, Chap</w:t>
      </w:r>
      <w:r>
        <w:rPr>
          <w:rFonts w:ascii="Garamond" w:hAnsi="Garamond"/>
        </w:rPr>
        <w:t>ters 1, 2, and 9 (3-73, 196-217)</w:t>
      </w:r>
      <w:bookmarkStart w:id="0" w:name="_GoBack"/>
      <w:bookmarkEnd w:id="0"/>
    </w:p>
    <w:sectPr w:rsidR="007B0316" w:rsidRPr="007B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30E"/>
    <w:multiLevelType w:val="hybridMultilevel"/>
    <w:tmpl w:val="47B2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80B"/>
    <w:multiLevelType w:val="hybridMultilevel"/>
    <w:tmpl w:val="11E6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705F8"/>
    <w:multiLevelType w:val="hybridMultilevel"/>
    <w:tmpl w:val="6C3A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537C"/>
    <w:multiLevelType w:val="hybridMultilevel"/>
    <w:tmpl w:val="00669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538C3"/>
    <w:multiLevelType w:val="hybridMultilevel"/>
    <w:tmpl w:val="4DB8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A20DE"/>
    <w:multiLevelType w:val="hybridMultilevel"/>
    <w:tmpl w:val="1E3AF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8F7020"/>
    <w:multiLevelType w:val="hybridMultilevel"/>
    <w:tmpl w:val="BB0C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4F81"/>
    <w:multiLevelType w:val="hybridMultilevel"/>
    <w:tmpl w:val="767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54A8"/>
    <w:multiLevelType w:val="hybridMultilevel"/>
    <w:tmpl w:val="0F1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386AA4"/>
    <w:multiLevelType w:val="hybridMultilevel"/>
    <w:tmpl w:val="CCB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E86"/>
    <w:multiLevelType w:val="hybridMultilevel"/>
    <w:tmpl w:val="71FC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B3F56"/>
    <w:multiLevelType w:val="hybridMultilevel"/>
    <w:tmpl w:val="F06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6F9C"/>
    <w:multiLevelType w:val="hybridMultilevel"/>
    <w:tmpl w:val="182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E1B48"/>
    <w:multiLevelType w:val="hybridMultilevel"/>
    <w:tmpl w:val="A6B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2C6C"/>
    <w:multiLevelType w:val="hybridMultilevel"/>
    <w:tmpl w:val="C0A04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B3A94"/>
    <w:multiLevelType w:val="hybridMultilevel"/>
    <w:tmpl w:val="C49AE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274F6F"/>
    <w:multiLevelType w:val="hybridMultilevel"/>
    <w:tmpl w:val="3E9E9E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F779DD"/>
    <w:multiLevelType w:val="hybridMultilevel"/>
    <w:tmpl w:val="B61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94FA6"/>
    <w:multiLevelType w:val="hybridMultilevel"/>
    <w:tmpl w:val="C7C8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F0D27"/>
    <w:multiLevelType w:val="hybridMultilevel"/>
    <w:tmpl w:val="9F2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228A9"/>
    <w:multiLevelType w:val="hybridMultilevel"/>
    <w:tmpl w:val="2FF63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8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9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5"/>
  </w:num>
  <w:num w:numId="16">
    <w:abstractNumId w:val="11"/>
  </w:num>
  <w:num w:numId="17">
    <w:abstractNumId w:val="16"/>
  </w:num>
  <w:num w:numId="18">
    <w:abstractNumId w:val="20"/>
  </w:num>
  <w:num w:numId="19">
    <w:abstractNumId w:val="3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EA"/>
    <w:rsid w:val="00042C1F"/>
    <w:rsid w:val="00245ECB"/>
    <w:rsid w:val="00260C2E"/>
    <w:rsid w:val="002C1A97"/>
    <w:rsid w:val="00302690"/>
    <w:rsid w:val="00322E29"/>
    <w:rsid w:val="004423AB"/>
    <w:rsid w:val="004C66D9"/>
    <w:rsid w:val="0051220D"/>
    <w:rsid w:val="005765AE"/>
    <w:rsid w:val="006B1425"/>
    <w:rsid w:val="00786D97"/>
    <w:rsid w:val="007B0316"/>
    <w:rsid w:val="00831BEA"/>
    <w:rsid w:val="008D5C9B"/>
    <w:rsid w:val="0091156F"/>
    <w:rsid w:val="009350EA"/>
    <w:rsid w:val="009711D4"/>
    <w:rsid w:val="009E3A06"/>
    <w:rsid w:val="00A27B6F"/>
    <w:rsid w:val="00AD6A6C"/>
    <w:rsid w:val="00AF191F"/>
    <w:rsid w:val="00BA787E"/>
    <w:rsid w:val="00BE7869"/>
    <w:rsid w:val="00C833CD"/>
    <w:rsid w:val="00D95058"/>
    <w:rsid w:val="00E3148D"/>
    <w:rsid w:val="00E71F81"/>
    <w:rsid w:val="00F55504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8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0E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9350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9350E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2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2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50E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9350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9350E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2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sbrownstein@gmail.com" TargetMode="External"/><Relationship Id="rId8" Type="http://schemas.openxmlformats.org/officeDocument/2006/relationships/hyperlink" Target="mailto:bryden@post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FDEF-018B-784E-9F40-5C2AC25D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Bryden Sweeney-Taylor</cp:lastModifiedBy>
  <cp:revision>14</cp:revision>
  <dcterms:created xsi:type="dcterms:W3CDTF">2015-04-13T19:45:00Z</dcterms:created>
  <dcterms:modified xsi:type="dcterms:W3CDTF">2015-07-09T02:44:00Z</dcterms:modified>
</cp:coreProperties>
</file>